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 w:after="160" w:line="264" w:lineRule="auto"/>
        <w:jc w:val="center"/>
      </w:pPr>
      <w:r>
        <w:rPr>
          <w:rFonts w:ascii="Calibri" w:hAnsi="Calibri" w:eastAsia="Microsoft YaHei"/>
          <w:b/>
          <w:color w:val="0B2545"/>
          <w:sz w:val="58"/>
        </w:rPr>
        <w:t>单路4G电量继电器</w:t>
      </w:r>
    </w:p>
    <w:p>
      <w:pPr>
        <w:spacing w:before="0" w:after="320" w:line="264" w:lineRule="auto"/>
        <w:jc w:val="center"/>
      </w:pPr>
      <w:r>
        <w:rPr>
          <w:rFonts w:ascii="Calibri" w:hAnsi="Calibri" w:eastAsia="Microsoft YaHei"/>
          <w:b/>
          <w:color w:val="2E74B5"/>
          <w:sz w:val="34"/>
        </w:rPr>
        <w:t>产品说明书</w:t>
      </w:r>
    </w:p>
    <w:p>
      <w:pPr>
        <w:spacing w:before="0" w:after="480" w:line="264" w:lineRule="auto"/>
        <w:jc w:val="center"/>
        <w:pBdr>
          <w:bottom w:val="single" w:sz="16" w:space="10" w:color="2E74B5"/>
        </w:pBdr>
      </w:pPr>
    </w:p>
    <w:p>
      <w:pPr>
        <w:spacing w:before="0" w:after="80" w:line="264" w:lineRule="auto"/>
        <w:jc w:val="center"/>
      </w:pPr>
      <w:r>
        <w:rPr>
          <w:rFonts w:ascii="Calibri" w:hAnsi="Calibri" w:eastAsia="Microsoft YaHei"/>
          <w:color w:val="000000"/>
          <w:sz w:val="24"/>
        </w:rPr>
        <w:t>产品型号：ZMRL0101-ER1</w:t>
      </w:r>
    </w:p>
    <w:p>
      <w:pPr>
        <w:spacing w:before="0" w:after="80" w:line="264" w:lineRule="auto"/>
        <w:jc w:val="center"/>
      </w:pPr>
      <w:r>
        <w:rPr>
          <w:rFonts w:ascii="Calibri" w:hAnsi="Calibri" w:eastAsia="Microsoft YaHei"/>
          <w:color w:val="000000"/>
          <w:sz w:val="24"/>
        </w:rPr>
        <w:t>版本：V1.0</w:t>
      </w:r>
    </w:p>
    <w:p>
      <w:pPr>
        <w:spacing w:before="0" w:after="1360" w:line="264" w:lineRule="auto"/>
        <w:jc w:val="center"/>
      </w:pPr>
      <w:r>
        <w:rPr>
          <w:rFonts w:ascii="Calibri" w:hAnsi="Calibri" w:eastAsia="Microsoft YaHei"/>
          <w:color w:val="5B6573"/>
          <w:sz w:val="22"/>
        </w:rPr>
        <w:t>发布日期：2026年8月</w:t>
      </w:r>
    </w:p>
    <w:p>
      <w:pPr>
        <w:spacing w:before="0" w:after="100" w:line="264" w:lineRule="auto"/>
        <w:jc w:val="center"/>
      </w:pPr>
      <w:r>
        <w:rPr>
          <w:rFonts w:ascii="Calibri" w:hAnsi="Calibri" w:eastAsia="Microsoft YaHei"/>
          <w:color w:val="5B6573"/>
          <w:sz w:val="21"/>
        </w:rPr>
        <w:t>本说明书用于产品安装、接线、平台接入与日常使用。</w:t>
      </w:r>
    </w:p>
    <w:p>
      <w:pPr>
        <w:spacing w:before="0" w:after="0" w:line="264" w:lineRule="auto"/>
        <w:jc w:val="center"/>
      </w:pPr>
      <w:r>
        <w:rPr>
          <w:rFonts w:ascii="Calibri" w:hAnsi="Calibri" w:eastAsia="Microsoft YaHei"/>
          <w:color w:val="5B6573"/>
          <w:sz w:val="21"/>
        </w:rPr>
        <w:t>请在安装和操作前完整阅读本说明书，并以设备机身标签及端子丝印为准。</w:t>
      </w:r>
    </w:p>
    <w:p>
      <w:r>
        <w:br w:type="page"/>
      </w:r>
    </w:p>
    <w:p>
      <w:pPr>
        <w:pStyle w:val="Heading1"/>
        <w:keepNext/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1. 产品介绍</w:t>
      </w:r>
    </w:p>
    <w:p>
      <w:pPr>
        <w:spacing w:before="0" w:after="120" w:line="264" w:lineRule="auto"/>
      </w:pPr>
      <w:r>
        <w:rPr>
          <w:rFonts w:ascii="Calibri" w:hAnsi="Calibri" w:eastAsia="Microsoft YaHei"/>
          <w:color w:val="000000"/>
          <w:sz w:val="22"/>
        </w:rPr>
        <w:t>ZMRL0101-ER1 是一款单路继电器控制产品，集成4G移动网络接入与电量数据采集能力。产品可通过平台数据通道接收控制指令、上报运行状态与用电数据，并支持本地数字输入联动和定时控制。</w:t>
      </w:r>
    </w:p>
    <w:p>
      <w:pPr>
        <w:spacing w:before="0" w:after="120" w:line="264" w:lineRule="auto"/>
      </w:pPr>
      <w:r>
        <w:rPr>
          <w:rFonts w:ascii="Calibri" w:hAnsi="Calibri" w:eastAsia="Microsoft YaHei"/>
          <w:color w:val="000000"/>
          <w:sz w:val="22"/>
        </w:rPr>
        <w:t>本产品适用于需要远程开关控制、状态回传与用电数据采集的单路负载场景。</w:t>
      </w:r>
    </w:p>
    <w:p>
      <w:pPr>
        <w:pStyle w:val="Heading1"/>
        <w:keepNext/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2. 功能特性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单路继电器输出控制，支持开、关、点动和切换控制。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支持1路数字输入；输入上升沿可切换继电器状态，并触发状态上报。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支持4G移动网络接入与MQTT数据通信。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支持电压、电流、功率、频率和累计电量数据上报。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支持最多32组按星期执行的定时任务。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支持继电器状态变更上报、输入变化上报和周期性状态上报。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支持点动时长配置；点动动作结束后自动关闭输出。</w:t>
      </w:r>
    </w:p>
    <w:p>
      <w:pPr>
        <w:pStyle w:val="Heading1"/>
        <w:keepNext/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3. 技术参数</w:t>
      </w:r>
    </w:p>
    <w:p>
      <w:pPr>
        <w:spacing w:before="0" w:after="160" w:line="264" w:lineRule="auto"/>
      </w:pPr>
      <w:r>
        <w:rPr>
          <w:rFonts w:ascii="Calibri" w:hAnsi="Calibri" w:eastAsia="Microsoft YaHei"/>
          <w:color w:val="000000"/>
          <w:sz w:val="22"/>
        </w:rPr>
        <w:t>下表仅列出可由现有产品固件直接确认的参数。电源、负载容量和端子额定值请以设备机身标签为准。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项目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参数/说明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产品型号</w:t>
            </w:r>
          </w:p>
        </w:tc>
        <w:tc>
          <w:tcPr>
            <w:tcW w:type="dxa" w:w="66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ZMRL0101-ER1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继电器输出</w:t>
            </w:r>
          </w:p>
        </w:tc>
        <w:tc>
          <w:tcPr>
            <w:tcW w:type="dxa" w:w="66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1路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数字输入</w:t>
            </w:r>
          </w:p>
        </w:tc>
        <w:tc>
          <w:tcPr>
            <w:tcW w:type="dxa" w:w="66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1路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移动网络</w:t>
            </w:r>
          </w:p>
        </w:tc>
        <w:tc>
          <w:tcPr>
            <w:tcW w:type="dxa" w:w="66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4G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通信方式</w:t>
            </w:r>
          </w:p>
        </w:tc>
        <w:tc>
          <w:tcPr>
            <w:tcW w:type="dxa" w:w="66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MQTT数据通信（TCP端口1883）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定时任务</w:t>
            </w:r>
          </w:p>
        </w:tc>
        <w:tc>
          <w:tcPr>
            <w:tcW w:type="dxa" w:w="66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最多32组；支持星期、时、分、秒与输出动作配置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时区</w:t>
            </w:r>
          </w:p>
        </w:tc>
        <w:tc>
          <w:tcPr>
            <w:tcW w:type="dxa" w:w="66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UTC+8（东八区）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状态上报</w:t>
            </w:r>
          </w:p>
        </w:tc>
        <w:tc>
          <w:tcPr>
            <w:tcW w:type="dxa" w:w="66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输出或输入变化时上报；无变化时约每10分钟上报一次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计量数据</w:t>
            </w:r>
          </w:p>
        </w:tc>
        <w:tc>
          <w:tcPr>
            <w:tcW w:type="dxa" w:w="66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电压、电流、功率、频率、累计电量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点动计时粒度</w:t>
            </w:r>
          </w:p>
        </w:tc>
        <w:tc>
          <w:tcPr>
            <w:tcW w:type="dxa" w:w="66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0.1秒；默认值10，即1秒</w:t>
            </w:r>
          </w:p>
        </w:tc>
      </w:tr>
    </w:tbl>
    <w:p>
      <w:pPr>
        <w:pStyle w:val="Heading1"/>
        <w:keepNext/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4. 接口与接线说明</w:t>
      </w:r>
    </w:p>
    <w:p>
      <w:pPr>
        <w:pStyle w:val="Heading2"/>
        <w:keepNext/>
        <w:spacing w:before="240" w:after="120" w:line="264" w:lineRule="auto"/>
      </w:pPr>
      <w:r>
        <w:rPr>
          <w:rFonts w:ascii="Calibri" w:hAnsi="Calibri" w:eastAsia="Microsoft YaHei"/>
          <w:b/>
          <w:color w:val="2E74B5"/>
          <w:sz w:val="26"/>
        </w:rPr>
        <w:t>4.1 外部接口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1100"/>
        <w:gridCol w:w="6060"/>
      </w:tblGrid>
      <w:tr>
        <w:trPr>
          <w:tblHeader w:val="true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接口类别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数量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用途</w:t>
            </w:r>
          </w:p>
        </w:tc>
      </w:tr>
      <w:tr>
        <w:tc>
          <w:tcPr>
            <w:tcW w:type="dxa" w:w="22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继电器输出</w:t>
            </w:r>
          </w:p>
        </w:tc>
        <w:tc>
          <w:tcPr>
            <w:tcW w:type="dxa" w:w="11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1路</w:t>
            </w:r>
          </w:p>
        </w:tc>
        <w:tc>
          <w:tcPr>
            <w:tcW w:type="dxa" w:w="60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用于受控负载的开关控制。</w:t>
            </w:r>
          </w:p>
        </w:tc>
      </w:tr>
      <w:tr>
        <w:tc>
          <w:tcPr>
            <w:tcW w:type="dxa" w:w="22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数字输入</w:t>
            </w:r>
          </w:p>
        </w:tc>
        <w:tc>
          <w:tcPr>
            <w:tcW w:type="dxa" w:w="11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1路</w:t>
            </w:r>
          </w:p>
        </w:tc>
        <w:tc>
          <w:tcPr>
            <w:tcW w:type="dxa" w:w="60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用于外部开关量触发；输入由低到高变化时切换输出状态。</w:t>
            </w:r>
          </w:p>
        </w:tc>
      </w:tr>
      <w:tr>
        <w:tc>
          <w:tcPr>
            <w:tcW w:type="dxa" w:w="22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4G移动网络</w:t>
            </w:r>
          </w:p>
        </w:tc>
        <w:tc>
          <w:tcPr>
            <w:tcW w:type="dxa" w:w="11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1路</w:t>
            </w:r>
          </w:p>
        </w:tc>
        <w:tc>
          <w:tcPr>
            <w:tcW w:type="dxa" w:w="60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用于平台通信、远程控制和数据上报。</w:t>
            </w:r>
          </w:p>
        </w:tc>
      </w:tr>
    </w:tbl>
    <w:p>
      <w:pPr>
        <w:pStyle w:val="Heading2"/>
        <w:keepNext/>
        <w:spacing w:before="240" w:after="120" w:line="264" w:lineRule="auto"/>
      </w:pPr>
      <w:r>
        <w:rPr>
          <w:rFonts w:ascii="Calibri" w:hAnsi="Calibri" w:eastAsia="Microsoft YaHei"/>
          <w:b/>
          <w:color w:val="2E74B5"/>
          <w:sz w:val="26"/>
        </w:rPr>
        <w:t>4.2 接线原则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接线、检修和更换负载前，务必切断相关电源。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电源、负载和数字输入的实际接线位置以设备端子丝印为准；不得仅依据本说明书中的逻辑描述接线。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受控负载的电气参数不得超过设备机身标签标注的允许范围。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数字输入应使用无源开关量或与现场设计相匹配的信号，避免将不匹配的电压直接接入输入端。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完成接线后，应先空载确认输出动作和平台状态，再接入实际负载。</w:t>
      </w:r>
    </w:p>
    <w:p>
      <w:pPr>
        <w:pStyle w:val="Heading1"/>
        <w:keepNext/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5. 通信方式与通信参数</w:t>
      </w:r>
    </w:p>
    <w:p>
      <w:pPr>
        <w:spacing w:before="0" w:after="120" w:line="264" w:lineRule="auto"/>
      </w:pPr>
      <w:r>
        <w:rPr>
          <w:rFonts w:ascii="Calibri" w:hAnsi="Calibri" w:eastAsia="Microsoft YaHei"/>
          <w:color w:val="000000"/>
          <w:sz w:val="22"/>
        </w:rPr>
        <w:t>设备通过4G移动网络连接平台，使用MQTT数据通道进行指令接收和状态/计量数据上报。平台侧应按设备接入流程完成网络与账号配置；本说明书不包含平台地址、账号或口令等接入凭据。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项目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说明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传输承载</w:t>
            </w:r>
          </w:p>
        </w:tc>
        <w:tc>
          <w:tcPr>
            <w:tcW w:type="dxa" w:w="66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4G移动网络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应用通信</w:t>
            </w:r>
          </w:p>
        </w:tc>
        <w:tc>
          <w:tcPr>
            <w:tcW w:type="dxa" w:w="66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MQTT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传输协议</w:t>
            </w:r>
          </w:p>
        </w:tc>
        <w:tc>
          <w:tcPr>
            <w:tcW w:type="dxa" w:w="66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TCP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端口</w:t>
            </w:r>
          </w:p>
        </w:tc>
        <w:tc>
          <w:tcPr>
            <w:tcW w:type="dxa" w:w="66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1883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命令编码</w:t>
            </w:r>
          </w:p>
        </w:tc>
        <w:tc>
          <w:tcPr>
            <w:tcW w:type="dxa" w:w="66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ASCII文本命令；状态和回包为JSON文本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设备标识</w:t>
            </w:r>
          </w:p>
        </w:tc>
        <w:tc>
          <w:tcPr>
            <w:tcW w:type="dxa" w:w="66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状态数据中的 sn 字段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时间同步</w:t>
            </w:r>
          </w:p>
        </w:tc>
        <w:tc>
          <w:tcPr>
            <w:tcW w:type="dxa" w:w="66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Unix时间戳（秒）；设备按UTC+8执行定时任务</w:t>
            </w:r>
          </w:p>
        </w:tc>
      </w:tr>
    </w:tbl>
    <w:p>
      <w:pPr>
        <w:spacing w:before="120" w:after="160" w:line="264" w:lineRule="auto"/>
      </w:pPr>
      <w:r>
        <w:rPr>
          <w:rFonts w:ascii="Calibri" w:hAnsi="Calibri" w:eastAsia="Microsoft YaHei"/>
          <w:i/>
          <w:color w:val="5B6573"/>
          <w:sz w:val="20"/>
        </w:rPr>
        <w:t>说明：通信凭据、平台主题和地址应由平台接入人员按部署环境配置，不应在公开说明书或现场照片中泄露。</w:t>
      </w:r>
    </w:p>
    <w:p>
      <w:pPr>
        <w:pStyle w:val="Heading1"/>
        <w:keepNext/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6. 协议与指令说明</w:t>
      </w:r>
    </w:p>
    <w:p>
      <w:pPr>
        <w:pStyle w:val="Heading2"/>
        <w:keepNext/>
        <w:spacing w:before="240" w:after="120" w:line="264" w:lineRule="auto"/>
      </w:pPr>
      <w:r>
        <w:rPr>
          <w:rFonts w:ascii="Calibri" w:hAnsi="Calibri" w:eastAsia="Microsoft YaHei"/>
          <w:b/>
          <w:color w:val="2E74B5"/>
          <w:sz w:val="26"/>
        </w:rPr>
        <w:t>6.1 基本约定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命令为ASCII文本，设备回包为JSON文本。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本型号只有1路输出，因此输出字符串长度为1。字符“0”表示关闭，字符“1”表示开启。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发送控制指令后，请以设备回传的 output 字段为最终状态依据。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以下指令用于正常运行与配置；维护、校准和恢复类内部指令不属于公开接口。</w:t>
      </w:r>
    </w:p>
    <w:p>
      <w:pPr>
        <w:pStyle w:val="Heading2"/>
        <w:keepNext/>
        <w:spacing w:before="240" w:after="120" w:line="264" w:lineRule="auto"/>
      </w:pPr>
      <w:r>
        <w:rPr>
          <w:rFonts w:ascii="Calibri" w:hAnsi="Calibri" w:eastAsia="Microsoft YaHei"/>
          <w:b/>
          <w:color w:val="2E74B5"/>
          <w:sz w:val="26"/>
        </w:rPr>
        <w:t>6.2 状态查询与输出控制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000"/>
        <w:gridCol w:w="1700"/>
        <w:gridCol w:w="2960"/>
      </w:tblGrid>
      <w:tr>
        <w:trPr>
          <w:tblHeader w:val="true"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指令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说明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示例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回包</w:t>
            </w:r>
          </w:p>
        </w:tc>
      </w:tr>
      <w:tr>
        <w:tc>
          <w:tcPr>
            <w:tcW w:type="dxa" w:w="1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state=?</w:t>
            </w:r>
          </w:p>
        </w:tc>
        <w:tc>
          <w:tcPr>
            <w:tcW w:type="dxa" w:w="30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查询当前状态和计量数据。</w:t>
            </w:r>
          </w:p>
        </w:tc>
        <w:tc>
          <w:tcPr>
            <w:tcW w:type="dxa" w:w="1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state=?</w:t>
            </w:r>
          </w:p>
        </w:tc>
        <w:tc>
          <w:tcPr>
            <w:tcW w:type="dxa" w:w="29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cmd 为 state 的JSON状态报文</w:t>
            </w:r>
          </w:p>
        </w:tc>
      </w:tr>
      <w:tr>
        <w:tc>
          <w:tcPr>
            <w:tcW w:type="dxa" w:w="1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setr={动作}</w:t>
            </w:r>
          </w:p>
        </w:tc>
        <w:tc>
          <w:tcPr>
            <w:tcW w:type="dxa" w:w="30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控制第1路输出。</w:t>
            </w:r>
          </w:p>
        </w:tc>
        <w:tc>
          <w:tcPr>
            <w:tcW w:type="dxa" w:w="1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setr=1</w:t>
            </w:r>
          </w:p>
        </w:tc>
        <w:tc>
          <w:tcPr>
            <w:tcW w:type="dxa" w:w="29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cmd 为 setr 的JSON状态报文</w:t>
            </w:r>
          </w:p>
        </w:tc>
      </w:tr>
      <w:tr>
        <w:tc>
          <w:tcPr>
            <w:tcW w:type="dxa" w:w="1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ptime0={N}</w:t>
            </w:r>
          </w:p>
        </w:tc>
        <w:tc>
          <w:tcPr>
            <w:tcW w:type="dxa" w:w="30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设置第1路点动时长，N的单位为0.1秒。</w:t>
            </w:r>
          </w:p>
        </w:tc>
        <w:tc>
          <w:tcPr>
            <w:tcW w:type="dxa" w:w="1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ptime0=10</w:t>
            </w:r>
          </w:p>
        </w:tc>
        <w:tc>
          <w:tcPr>
            <w:tcW w:type="dxa" w:w="29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cmd 为 relay 的JSON配置报文</w:t>
            </w:r>
          </w:p>
        </w:tc>
      </w:tr>
      <w:tr>
        <w:tc>
          <w:tcPr>
            <w:tcW w:type="dxa" w:w="1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timer_en={0|1}</w:t>
            </w:r>
          </w:p>
        </w:tc>
        <w:tc>
          <w:tcPr>
            <w:tcW w:type="dxa" w:w="30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禁用或启用全部定时任务。</w:t>
            </w:r>
          </w:p>
        </w:tc>
        <w:tc>
          <w:tcPr>
            <w:tcW w:type="dxa" w:w="17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timer_en=1</w:t>
            </w:r>
          </w:p>
        </w:tc>
        <w:tc>
          <w:tcPr>
            <w:tcW w:type="dxa" w:w="29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cmd 为 post 的JSON状态报文</w:t>
            </w:r>
          </w:p>
        </w:tc>
      </w:tr>
    </w:tbl>
    <w:p>
      <w:pPr>
        <w:spacing w:before="120" w:after="160" w:line="264" w:lineRule="auto"/>
      </w:pPr>
      <w:r>
        <w:rPr>
          <w:rFonts w:ascii="Calibri" w:hAnsi="Calibri" w:eastAsia="Microsoft YaHei"/>
          <w:color w:val="000000"/>
          <w:sz w:val="22"/>
        </w:rPr>
        <w:t>setr 动作值：0=关闭；1=开启；2=点动开启，达到设定点动时长后自动关闭；3=切换当前状态。</w:t>
      </w:r>
    </w:p>
    <w:p>
      <w:pPr>
        <w:pStyle w:val="Heading2"/>
        <w:keepNext/>
        <w:spacing w:before="240" w:after="120" w:line="264" w:lineRule="auto"/>
      </w:pPr>
      <w:r>
        <w:rPr>
          <w:rFonts w:ascii="Calibri" w:hAnsi="Calibri" w:eastAsia="Microsoft YaHei"/>
          <w:b/>
          <w:color w:val="2E74B5"/>
          <w:sz w:val="26"/>
        </w:rPr>
        <w:t>6.3 定时任务</w:t>
      </w:r>
    </w:p>
    <w:p>
      <w:pPr>
        <w:spacing w:before="0" w:after="120" w:line="264" w:lineRule="auto"/>
      </w:pPr>
      <w:r>
        <w:rPr>
          <w:rFonts w:ascii="Calibri" w:hAnsi="Calibri" w:eastAsia="Microsoft YaHei"/>
          <w:color w:val="000000"/>
          <w:sz w:val="22"/>
        </w:rPr>
        <w:t>设备最多保存32组定时任务。定时任务按星期、时、分、秒执行，可分别启用或停用全部任务。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4100"/>
        <w:gridCol w:w="33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用途</w:t>
            </w:r>
          </w:p>
        </w:tc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指令格式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示例</w:t>
            </w:r>
          </w:p>
        </w:tc>
      </w:tr>
      <w:tr>
        <w:tc>
          <w:tcPr>
            <w:tcW w:type="dxa" w:w="19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查询任务</w:t>
            </w:r>
          </w:p>
        </w:tc>
        <w:tc>
          <w:tcPr>
            <w:tcW w:type="dxa" w:w="41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timer{n}?</w:t>
            </w:r>
          </w:p>
        </w:tc>
        <w:tc>
          <w:tcPr>
            <w:tcW w:type="dxa" w:w="33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timer1?</w:t>
            </w:r>
          </w:p>
        </w:tc>
      </w:tr>
      <w:tr>
        <w:tc>
          <w:tcPr>
            <w:tcW w:type="dxa" w:w="19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设置任务</w:t>
            </w:r>
          </w:p>
        </w:tc>
        <w:tc>
          <w:tcPr>
            <w:tcW w:type="dxa" w:w="41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timer{n}=HHMMSS/WWWWWWW/{动作}</w:t>
            </w:r>
          </w:p>
        </w:tc>
        <w:tc>
          <w:tcPr>
            <w:tcW w:type="dxa" w:w="33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timer1=083000/1111100/1</w:t>
            </w:r>
          </w:p>
        </w:tc>
      </w:tr>
    </w:tbl>
    <w:p>
      <w:pPr>
        <w:spacing w:before="0" w:after="120" w:line="264" w:lineRule="auto"/>
      </w:pPr>
      <w:r>
        <w:rPr>
          <w:rFonts w:ascii="Calibri" w:hAnsi="Calibri" w:eastAsia="Microsoft YaHei"/>
          <w:color w:val="000000"/>
          <w:sz w:val="22"/>
        </w:rPr>
        <w:t>参数说明：n为任务编号（1至32）；HHMMSS为24小时制时间；WWWWWWW为7位星期掩码（从星期日到星期六，1=启用、0=不启用）；动作使用0、1、2或3，其含义与setr动作值相同。</w:t>
      </w:r>
    </w:p>
    <w:p>
      <w:pPr>
        <w:spacing w:before="0" w:after="160" w:line="264" w:lineRule="auto"/>
      </w:pPr>
      <w:r>
        <w:rPr>
          <w:rFonts w:ascii="Calibri" w:hAnsi="Calibri" w:eastAsia="Microsoft YaHei"/>
          <w:i/>
          <w:color w:val="5B6573"/>
          <w:sz w:val="20"/>
        </w:rPr>
        <w:t>示例 timer1=083000/1111100/1 表示：任务1在工作日08:30:00将输出开启。</w:t>
      </w:r>
    </w:p>
    <w:p>
      <w:pPr>
        <w:pStyle w:val="Heading2"/>
        <w:keepNext/>
        <w:spacing w:before="240" w:after="120" w:line="264" w:lineRule="auto"/>
      </w:pPr>
      <w:r>
        <w:rPr>
          <w:rFonts w:ascii="Calibri" w:hAnsi="Calibri" w:eastAsia="Microsoft YaHei"/>
          <w:b/>
          <w:color w:val="2E74B5"/>
          <w:sz w:val="26"/>
        </w:rPr>
        <w:t>6.4 状态报文</w:t>
      </w:r>
    </w:p>
    <w:p>
      <w:pPr>
        <w:spacing w:before="0" w:after="120" w:line="264" w:lineRule="auto"/>
      </w:pPr>
      <w:r>
        <w:rPr>
          <w:rFonts w:ascii="Calibri" w:hAnsi="Calibri" w:eastAsia="Microsoft YaHei"/>
          <w:color w:val="000000"/>
          <w:sz w:val="22"/>
        </w:rPr>
        <w:t>设备会在输出状态变化、数字输入变化以及周期性上报时发送状态报文。下表为对外使用的核心字段。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4300"/>
        <w:gridCol w:w="3460"/>
      </w:tblGrid>
      <w:tr>
        <w:trPr>
          <w:tblHeader w:val="true"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字段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含义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数据格式/单位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cmd</w:t>
            </w:r>
          </w:p>
        </w:tc>
        <w:tc>
          <w:tcPr>
            <w:tcW w:type="dxa" w:w="43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报文类型，例如 post、state、setr、timerset、iosyn。</w:t>
            </w:r>
          </w:p>
        </w:tc>
        <w:tc>
          <w:tcPr>
            <w:tcW w:type="dxa" w:w="34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字符串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output</w:t>
            </w:r>
          </w:p>
        </w:tc>
        <w:tc>
          <w:tcPr>
            <w:tcW w:type="dxa" w:w="43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第1路继电器状态。</w:t>
            </w:r>
          </w:p>
        </w:tc>
        <w:tc>
          <w:tcPr>
            <w:tcW w:type="dxa" w:w="34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字符串：0=关，1=开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input</w:t>
            </w:r>
          </w:p>
        </w:tc>
        <w:tc>
          <w:tcPr>
            <w:tcW w:type="dxa" w:w="43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第1路数字输入状态。</w:t>
            </w:r>
          </w:p>
        </w:tc>
        <w:tc>
          <w:tcPr>
            <w:tcW w:type="dxa" w:w="34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字符串：0=低，1=高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vol</w:t>
            </w:r>
          </w:p>
        </w:tc>
        <w:tc>
          <w:tcPr>
            <w:tcW w:type="dxa" w:w="43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电压。</w:t>
            </w:r>
          </w:p>
        </w:tc>
        <w:tc>
          <w:tcPr>
            <w:tcW w:type="dxa" w:w="34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数值，V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cur</w:t>
            </w:r>
          </w:p>
        </w:tc>
        <w:tc>
          <w:tcPr>
            <w:tcW w:type="dxa" w:w="43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电流采集读数。</w:t>
            </w:r>
          </w:p>
        </w:tc>
        <w:tc>
          <w:tcPr>
            <w:tcW w:type="dxa" w:w="34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整数数值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power</w:t>
            </w:r>
          </w:p>
        </w:tc>
        <w:tc>
          <w:tcPr>
            <w:tcW w:type="dxa" w:w="43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功率。</w:t>
            </w:r>
          </w:p>
        </w:tc>
        <w:tc>
          <w:tcPr>
            <w:tcW w:type="dxa" w:w="34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数值，W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freq</w:t>
            </w:r>
          </w:p>
        </w:tc>
        <w:tc>
          <w:tcPr>
            <w:tcW w:type="dxa" w:w="43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频率。</w:t>
            </w:r>
          </w:p>
        </w:tc>
        <w:tc>
          <w:tcPr>
            <w:tcW w:type="dxa" w:w="34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数值，Hz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ele</w:t>
            </w:r>
          </w:p>
        </w:tc>
        <w:tc>
          <w:tcPr>
            <w:tcW w:type="dxa" w:w="43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累计电量。</w:t>
            </w:r>
          </w:p>
        </w:tc>
        <w:tc>
          <w:tcPr>
            <w:tcW w:type="dxa" w:w="34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数值，kWh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timer_en</w:t>
            </w:r>
          </w:p>
        </w:tc>
        <w:tc>
          <w:tcPr>
            <w:tcW w:type="dxa" w:w="43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定时任务总开关。</w:t>
            </w:r>
          </w:p>
        </w:tc>
        <w:tc>
          <w:tcPr>
            <w:tcW w:type="dxa" w:w="34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0=禁用，1=启用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sn</w:t>
            </w:r>
          </w:p>
        </w:tc>
        <w:tc>
          <w:tcPr>
            <w:tcW w:type="dxa" w:w="43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设备标识。</w:t>
            </w:r>
          </w:p>
        </w:tc>
        <w:tc>
          <w:tcPr>
            <w:tcW w:type="dxa" w:w="34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字符串</w:t>
            </w:r>
          </w:p>
        </w:tc>
      </w:tr>
    </w:tbl>
    <w:p>
      <w:pPr>
        <w:spacing w:before="120" w:after="60" w:line="264" w:lineRule="auto"/>
      </w:pPr>
      <w:r>
        <w:rPr>
          <w:rFonts w:ascii="Calibri" w:hAnsi="Calibri" w:eastAsia="Microsoft YaHei"/>
          <w:b/>
          <w:color w:val="000000"/>
          <w:sz w:val="21"/>
        </w:rPr>
        <w:t>状态报文示例：</w:t>
      </w:r>
    </w:p>
    <w:p>
      <w:pPr>
        <w:spacing w:before="0" w:after="160" w:line="264" w:lineRule="auto"/>
        <w:ind w:left="360" w:right="360"/>
      </w:pPr>
      <w:r>
        <w:rPr>
          <w:rFonts w:ascii="Calibri" w:hAnsi="Calibri" w:eastAsia="Microsoft YaHei"/>
          <w:color w:val="0B2545"/>
          <w:sz w:val="19"/>
        </w:rPr>
        <w:t>{"cmd":"state","output":"1","input":"0","vol":220.0,"cur":0,"power":0.0,"freq":50.0,"ele":0.0,"timer_en":1,"sn":"设备标识"}</w:t>
      </w:r>
    </w:p>
    <w:p>
      <w:pPr>
        <w:pStyle w:val="Heading1"/>
        <w:keepNext/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7. 典型使用与配置方法</w:t>
      </w:r>
    </w:p>
    <w:p>
      <w:pPr>
        <w:pStyle w:val="Heading2"/>
        <w:keepNext/>
        <w:spacing w:before="240" w:after="120" w:line="264" w:lineRule="auto"/>
      </w:pPr>
      <w:r>
        <w:rPr>
          <w:rFonts w:ascii="Calibri" w:hAnsi="Calibri" w:eastAsia="Microsoft YaHei"/>
          <w:b/>
          <w:color w:val="2E74B5"/>
          <w:sz w:val="26"/>
        </w:rPr>
        <w:t>7.1 首次安装</w:t>
      </w:r>
    </w:p>
    <w:p>
      <w:pPr>
        <w:pStyle w:val="ListNumber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确认设备型号、机身标签和端子丝印与使用场景一致。</w:t>
      </w:r>
    </w:p>
    <w:p>
      <w:pPr>
        <w:pStyle w:val="ListNumber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在断电状态下完成电源、负载及数字输入接线。</w:t>
      </w:r>
    </w:p>
    <w:p>
      <w:pPr>
        <w:pStyle w:val="ListNumber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检查接线无误后上电，确认设备接入4G网络及平台。</w:t>
      </w:r>
    </w:p>
    <w:p>
      <w:pPr>
        <w:pStyle w:val="ListNumber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通过平台发送 state=?，确认收到状态报文及设备标识。</w:t>
      </w:r>
    </w:p>
    <w:p>
      <w:pPr>
        <w:pStyle w:val="ListNumber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空载发送 setr=1、setr=0，确认输出控制与状态回传正确。</w:t>
      </w:r>
    </w:p>
    <w:p>
      <w:pPr>
        <w:pStyle w:val="Heading2"/>
        <w:keepNext/>
        <w:spacing w:before="240" w:after="120" w:line="264" w:lineRule="auto"/>
      </w:pPr>
      <w:r>
        <w:rPr>
          <w:rFonts w:ascii="Calibri" w:hAnsi="Calibri" w:eastAsia="Microsoft YaHei"/>
          <w:b/>
          <w:color w:val="2E74B5"/>
          <w:sz w:val="26"/>
        </w:rPr>
        <w:t>7.2 配置点动控制</w:t>
      </w:r>
    </w:p>
    <w:p>
      <w:pPr>
        <w:pStyle w:val="ListNumber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设置点动时长。例如 ptime0=10，表示设定为1.0秒。</w:t>
      </w:r>
    </w:p>
    <w:p>
      <w:pPr>
        <w:pStyle w:val="ListNumber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发送 setr=2 触发点动。</w:t>
      </w:r>
    </w:p>
    <w:p>
      <w:pPr>
        <w:pStyle w:val="ListNumber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检查回传的 output 字段：输出先变为1，点动时长到达后返回0。</w:t>
      </w:r>
    </w:p>
    <w:p>
      <w:pPr>
        <w:pStyle w:val="Heading2"/>
        <w:keepNext/>
        <w:spacing w:before="240" w:after="120" w:line="264" w:lineRule="auto"/>
      </w:pPr>
      <w:r>
        <w:rPr>
          <w:rFonts w:ascii="Calibri" w:hAnsi="Calibri" w:eastAsia="Microsoft YaHei"/>
          <w:b/>
          <w:color w:val="2E74B5"/>
          <w:sz w:val="26"/>
        </w:rPr>
        <w:t>7.3 配置工作日定时开启</w:t>
      </w:r>
    </w:p>
    <w:p>
      <w:pPr>
        <w:pStyle w:val="ListNumber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完成时间同步，确保平台下发的Unix时间戳正确。</w:t>
      </w:r>
    </w:p>
    <w:p>
      <w:pPr>
        <w:pStyle w:val="ListNumber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启用定时任务：timer_en=1。</w:t>
      </w:r>
    </w:p>
    <w:p>
      <w:pPr>
        <w:pStyle w:val="ListNumber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设置任务，例如 timer1=083000/1111100/1。</w:t>
      </w:r>
    </w:p>
    <w:p>
      <w:pPr>
        <w:pStyle w:val="ListNumber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发送 timer1? 查询并核对任务回包；在设定时间确认 cmd 为 timerset 的状态回传。</w:t>
      </w:r>
    </w:p>
    <w:p>
      <w:pPr>
        <w:pStyle w:val="Heading1"/>
        <w:keepNext/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8. 使用注意事项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本产品涉及电源与负载接线，应由具备相应资质的人员安装和维护。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接线前必须断电；不得带电插拔导线或拆卸设备。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请按设备机身标签标注的电气范围选择电源和负载，避免超载使用。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平台接入信息属于部署凭据，应采取访问控制措施，不应在公开资料中暴露。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定时功能依赖设备时间。出现定时偏差时，应先检查平台时间同步与网络连接。</w:t>
      </w:r>
    </w:p>
    <w:p>
      <w:pPr>
        <w:pStyle w:val="ListBullet"/>
        <w:spacing w:before="0" w:after="80" w:line="280" w:lineRule="auto"/>
        <w:ind w:left="720" w:hanging="360"/>
      </w:pPr>
      <w:r>
        <w:rPr>
          <w:rFonts w:ascii="Calibri" w:hAnsi="Calibri" w:eastAsia="Microsoft YaHei"/>
          <w:color w:val="000000"/>
          <w:sz w:val="22"/>
        </w:rPr>
        <w:t>设备状态以最新回传报文为准；现场操作后应核对 output 与 input 字段。</w:t>
      </w:r>
    </w:p>
    <w:p>
      <w:pPr>
        <w:pStyle w:val="Heading1"/>
        <w:keepNext/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9. 版本信息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2100"/>
        <w:gridCol w:w="5460"/>
      </w:tblGrid>
      <w:tr>
        <w:trPr>
          <w:tblHeader w:val="true"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版本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日期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 w:val="clear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/>
                <w:color w:val="000000"/>
                <w:sz w:val="19"/>
              </w:rPr>
              <w:t>说明</w:t>
            </w:r>
          </w:p>
        </w:tc>
      </w:tr>
      <w:tr>
        <w:tc>
          <w:tcPr>
            <w:tcW w:type="dxa" w:w="18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V1.0</w:t>
            </w:r>
          </w:p>
        </w:tc>
        <w:tc>
          <w:tcPr>
            <w:tcW w:type="dxa" w:w="210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2026年8月</w:t>
            </w:r>
          </w:p>
        </w:tc>
        <w:tc>
          <w:tcPr>
            <w:tcW w:type="dxa" w:w="5460"/>
          </w:tcPr>
          <w:p>
            <w:pPr>
              <w:spacing w:before="0" w:after="0" w:line="259" w:lineRule="auto"/>
            </w:pPr>
            <w:r>
              <w:rPr>
                <w:rFonts w:ascii="Calibri" w:hAnsi="Calibri" w:eastAsia="Microsoft YaHei"/>
                <w:b w:val="0"/>
                <w:color w:val="000000"/>
                <w:sz w:val="19"/>
              </w:rPr>
              <w:t>依据现有产品代码与随附资料整理的对外公开产品说明书。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64" w:lineRule="auto"/>
      <w:jc w:val="center"/>
    </w:pPr>
    <w:r>
      <w:rPr>
        <w:rFonts w:ascii="Calibri" w:hAnsi="Calibri" w:eastAsia="Microsoft YaHei"/>
        <w:color w:val="5B6573"/>
        <w:sz w:val="17"/>
      </w:rPr>
      <w:t>ZMRL0101-ER1  |  V1.0  |  对外公开版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64" w:lineRule="auto"/>
      <w:jc w:val="right"/>
    </w:pPr>
    <w:r>
      <w:rPr>
        <w:rFonts w:ascii="Calibri" w:hAnsi="Calibri" w:eastAsia="Microsoft YaHei"/>
        <w:color w:val="5B6573"/>
        <w:sz w:val="17"/>
      </w:rPr>
      <w:t>ER1 单路4G电量继电器 | 产品说明书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 w:eastAsia="Microsoft YaHe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264" w:lineRule="auto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64" w:lineRule="auto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ER1 单路4G电量继电器产品说明书</dc:title>
  <dc:subject>ZMRL0101-ER1 产品说明书</dc:subject>
  <dc:creator/>
  <cp:keywords>ER1, 4G, 继电器, 电量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